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CE215" w14:textId="2060EF11" w:rsidR="007F0F6E" w:rsidRPr="007F0F6E" w:rsidRDefault="007F0F6E" w:rsidP="007F0F6E">
      <w:pPr>
        <w:spacing w:after="0" w:line="240" w:lineRule="auto"/>
        <w:rPr>
          <w:rFonts w:ascii="Times New Roman" w:hAnsi="Times New Roman"/>
          <w:lang w:val="pl-PL"/>
        </w:rPr>
      </w:pPr>
      <w:r w:rsidRPr="007F0F6E">
        <w:rPr>
          <w:rFonts w:ascii="Times New Roman" w:hAnsi="Times New Roman"/>
          <w:lang w:val="pl-PL"/>
        </w:rPr>
        <w:t>Załącznik B</w:t>
      </w:r>
      <w:r w:rsidRPr="007F0F6E">
        <w:rPr>
          <w:rFonts w:ascii="Times New Roman" w:hAnsi="Times New Roman"/>
          <w:lang w:val="pl-PL"/>
        </w:rPr>
        <w:t>.116</w:t>
      </w:r>
      <w:r w:rsidRPr="007F0F6E">
        <w:rPr>
          <w:rFonts w:ascii="Times New Roman" w:hAnsi="Times New Roman"/>
          <w:lang w:val="pl-PL"/>
        </w:rPr>
        <w:t>.</w:t>
      </w:r>
    </w:p>
    <w:p w14:paraId="694A224F" w14:textId="77777777" w:rsidR="007F0F6E" w:rsidRPr="007F0F6E" w:rsidRDefault="007F0F6E" w:rsidP="007F0F6E">
      <w:pPr>
        <w:spacing w:after="0" w:line="240" w:lineRule="auto"/>
        <w:rPr>
          <w:rFonts w:ascii="Times New Roman" w:hAnsi="Times New Roman"/>
          <w:lang w:val="pl-PL"/>
        </w:rPr>
      </w:pPr>
    </w:p>
    <w:p w14:paraId="2D3B2ED2" w14:textId="2E03D6BD" w:rsidR="003F229D" w:rsidRPr="007F0F6E" w:rsidRDefault="003F229D" w:rsidP="007F0F6E">
      <w:pPr>
        <w:spacing w:after="240"/>
        <w:rPr>
          <w:rFonts w:ascii="Times New Roman" w:eastAsiaTheme="minorHAnsi" w:hAnsi="Times New Roman"/>
          <w:b/>
          <w:sz w:val="28"/>
          <w:szCs w:val="28"/>
          <w:lang w:val="pl-PL" w:eastAsia="en-US"/>
        </w:rPr>
      </w:pPr>
      <w:r w:rsidRPr="007F0F6E">
        <w:rPr>
          <w:rFonts w:ascii="Times New Roman" w:eastAsiaTheme="minorHAnsi" w:hAnsi="Times New Roman"/>
          <w:b/>
          <w:sz w:val="28"/>
          <w:szCs w:val="28"/>
          <w:lang w:val="pl-PL" w:eastAsia="en-US"/>
        </w:rPr>
        <w:t>LECZENIE CHORYCH NA ZAAWANSOWANEGO RAKA SZYJKI MACICY (ICD-10 C 53)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0"/>
        <w:gridCol w:w="4721"/>
        <w:gridCol w:w="4718"/>
      </w:tblGrid>
      <w:tr w:rsidR="003F229D" w:rsidRPr="003F229D" w14:paraId="13F5B4F9" w14:textId="77777777" w:rsidTr="007F0F6E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28002BC" w14:textId="77777777" w:rsidR="003F229D" w:rsidRPr="00305580" w:rsidRDefault="003F229D" w:rsidP="007F0F6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0558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ZAKRES ŚWIADCZENIA GWARANTOWANEGO</w:t>
            </w:r>
          </w:p>
        </w:tc>
      </w:tr>
      <w:tr w:rsidR="003F229D" w:rsidRPr="007F0F6E" w14:paraId="4E86E64B" w14:textId="77777777" w:rsidTr="00CB0610">
        <w:trPr>
          <w:trHeight w:val="567"/>
        </w:trPr>
        <w:tc>
          <w:tcPr>
            <w:tcW w:w="1933" w:type="pct"/>
            <w:shd w:val="clear" w:color="auto" w:fill="auto"/>
            <w:vAlign w:val="center"/>
          </w:tcPr>
          <w:p w14:paraId="542C83A8" w14:textId="77777777" w:rsidR="003F229D" w:rsidRPr="00305580" w:rsidRDefault="003F229D" w:rsidP="007F0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0558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4AC39DA5" w14:textId="77777777" w:rsidR="003F229D" w:rsidRPr="00305580" w:rsidRDefault="003F229D" w:rsidP="007F0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0558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SCHEMAT DAWKOWANIA LEKÓW W PROGRAMIE</w:t>
            </w:r>
          </w:p>
        </w:tc>
        <w:tc>
          <w:tcPr>
            <w:tcW w:w="1534" w:type="pct"/>
            <w:shd w:val="clear" w:color="auto" w:fill="auto"/>
            <w:vAlign w:val="center"/>
          </w:tcPr>
          <w:p w14:paraId="4D83A612" w14:textId="77777777" w:rsidR="003F229D" w:rsidRPr="00305580" w:rsidRDefault="003F229D" w:rsidP="007F0F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30558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BADANIA DIAGNOSTYCZNE WYKONYWANE W RAMACH PROGRAMU</w:t>
            </w:r>
          </w:p>
        </w:tc>
      </w:tr>
      <w:tr w:rsidR="003F229D" w:rsidRPr="007F0F6E" w14:paraId="43547055" w14:textId="77777777" w:rsidTr="00CB0610">
        <w:tc>
          <w:tcPr>
            <w:tcW w:w="1933" w:type="pct"/>
            <w:shd w:val="clear" w:color="auto" w:fill="auto"/>
          </w:tcPr>
          <w:p w14:paraId="283D9859" w14:textId="60B65BE0" w:rsidR="003F229D" w:rsidRPr="007F0F6E" w:rsidRDefault="003F229D" w:rsidP="007F0F6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Leczenie raka szyjki macicy przy wykorzystaniu substancji czynnej </w:t>
            </w:r>
            <w:proofErr w:type="spellStart"/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bewacyzumab</w:t>
            </w:r>
            <w:proofErr w:type="spellEnd"/>
          </w:p>
          <w:p w14:paraId="4FC417BC" w14:textId="2AB4D7FA" w:rsidR="003F229D" w:rsidRPr="007F0F6E" w:rsidRDefault="003F229D" w:rsidP="007F0F6E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Kryteria kwalifikacji</w:t>
            </w:r>
          </w:p>
          <w:p w14:paraId="30CF6290" w14:textId="77777777" w:rsidR="003F229D" w:rsidRPr="007F0F6E" w:rsidRDefault="00FB700C" w:rsidP="007F0F6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h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istologicznie potwierdzone</w:t>
            </w:r>
            <w:r w:rsidR="006A4DB3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rozpoznanie raka szyjki macicy;</w:t>
            </w:r>
          </w:p>
          <w:p w14:paraId="1F04EAEF" w14:textId="188BEF40" w:rsidR="00FB700C" w:rsidRPr="007F0F6E" w:rsidRDefault="00FB700C" w:rsidP="007F0F6E">
            <w:pPr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przetrwały, nawrotowy lub pierwotnie przerzutowy (stadium IVB) rak szyjki macicy u pacjentek niekwalifikujących się </w:t>
            </w:r>
            <w:r w:rsidR="00B23925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 radykalnego leczenia chirurgicznego lub radykalnej radioterapii</w:t>
            </w: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475C2BC4" w14:textId="65E0F0B3" w:rsidR="00BA34CD" w:rsidRPr="007F0F6E" w:rsidRDefault="00305580" w:rsidP="007F0F6E">
            <w:pPr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niestosowanie wcześniejszej chemioterapii w stadium nawrotu, rozsiewu lub przetrwałego nowotworu z wyjątkiem chemioterapii </w:t>
            </w:r>
            <w:proofErr w:type="spellStart"/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cisplatyną</w:t>
            </w:r>
            <w:proofErr w:type="spellEnd"/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stosowanej w skojarzeniu z radioterapią podczas leczenia radyk</w:t>
            </w:r>
            <w:r w:rsidR="00BA34C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lnego</w:t>
            </w:r>
          </w:p>
          <w:p w14:paraId="40A06D23" w14:textId="197C0F1B" w:rsidR="003F229D" w:rsidRPr="007F0F6E" w:rsidRDefault="00FB700C" w:rsidP="007F0F6E">
            <w:pPr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zas od zastosowania </w:t>
            </w:r>
            <w:proofErr w:type="spellStart"/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chemioradioterapii</w:t>
            </w:r>
            <w:proofErr w:type="spellEnd"/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nie krótszy niż 6 tygodni. Czas od zastosowania radiotera</w:t>
            </w:r>
            <w:r w:rsidR="006A4DB3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pii nie krótszy niż 3 tygodnie;</w:t>
            </w:r>
          </w:p>
          <w:p w14:paraId="6587AD48" w14:textId="77777777" w:rsidR="003F229D" w:rsidRPr="007F0F6E" w:rsidRDefault="00FB700C" w:rsidP="007F0F6E">
            <w:pPr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tan sprawności 0-1 według klasyfikacji </w:t>
            </w:r>
            <w:proofErr w:type="spellStart"/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Zubroda</w:t>
            </w:r>
            <w:proofErr w:type="spellEnd"/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-WHO;</w:t>
            </w:r>
          </w:p>
          <w:p w14:paraId="210F8DA2" w14:textId="77777777" w:rsidR="003F229D" w:rsidRPr="007F0F6E" w:rsidRDefault="00FB700C" w:rsidP="007F0F6E">
            <w:pPr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iek powyżej 18 roku życia;</w:t>
            </w:r>
          </w:p>
          <w:p w14:paraId="6CB93799" w14:textId="77777777" w:rsidR="003F229D" w:rsidRPr="007F0F6E" w:rsidRDefault="00FB700C" w:rsidP="007F0F6E">
            <w:pPr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ykluczenie ciąży i okresu karmienia piersią;</w:t>
            </w:r>
          </w:p>
          <w:p w14:paraId="1896C7D2" w14:textId="77777777" w:rsidR="003F229D" w:rsidRPr="007F0F6E" w:rsidRDefault="00FB700C" w:rsidP="007F0F6E">
            <w:pPr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yniki badania morfologii krwi z rozmazem:</w:t>
            </w:r>
          </w:p>
          <w:p w14:paraId="6B7C71AB" w14:textId="77777777" w:rsidR="00C44DB0" w:rsidRPr="007F0F6E" w:rsidRDefault="00036722" w:rsidP="007F0F6E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iczba płytek krwi większa lub równa 1 x 10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vertAlign w:val="superscript"/>
                <w:lang w:val="pl-PL"/>
              </w:rPr>
              <w:t>5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/mm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vertAlign w:val="superscript"/>
                <w:lang w:val="pl-PL"/>
              </w:rPr>
              <w:t>3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, </w:t>
            </w:r>
          </w:p>
          <w:p w14:paraId="202197AC" w14:textId="77777777" w:rsidR="00C44DB0" w:rsidRPr="007F0F6E" w:rsidRDefault="00036722" w:rsidP="007F0F6E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ezwzględna liczba neutrofilów większa lub równa 1500/mm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vertAlign w:val="superscript"/>
                <w:lang w:val="pl-PL"/>
              </w:rPr>
              <w:t>3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</w:p>
          <w:p w14:paraId="43C46059" w14:textId="77777777" w:rsidR="00C44DB0" w:rsidRPr="007F0F6E" w:rsidRDefault="00036722" w:rsidP="007F0F6E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tężenie hemoglobiny większe lub równe 9 g/dl;</w:t>
            </w:r>
          </w:p>
          <w:p w14:paraId="5FB11F61" w14:textId="77777777" w:rsidR="003F229D" w:rsidRPr="007F0F6E" w:rsidRDefault="00FB700C" w:rsidP="007F0F6E">
            <w:pPr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skaźniki </w:t>
            </w:r>
            <w:proofErr w:type="spellStart"/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koagulogiczne</w:t>
            </w:r>
            <w:proofErr w:type="spellEnd"/>
            <w:r w:rsidR="00F637AB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:</w:t>
            </w:r>
          </w:p>
          <w:p w14:paraId="290DBF68" w14:textId="77777777" w:rsidR="003F229D" w:rsidRPr="007F0F6E" w:rsidRDefault="00036722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lastRenderedPageBreak/>
              <w:t>c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zas częściowej tromboplastyny po aktywacji (APTT) w zakresie wartości prawidłowych,</w:t>
            </w:r>
          </w:p>
          <w:p w14:paraId="0F74B33B" w14:textId="77777777" w:rsidR="003F229D" w:rsidRPr="007F0F6E" w:rsidRDefault="00036722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zas </w:t>
            </w:r>
            <w:proofErr w:type="spellStart"/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protrombinowy</w:t>
            </w:r>
            <w:proofErr w:type="spellEnd"/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(PT) lub międzynarodowy współczynnik znormalizowany (INR) w zakresie wartości prawidłowych</w:t>
            </w:r>
          </w:p>
          <w:p w14:paraId="0B0C85A0" w14:textId="77777777" w:rsidR="003F229D" w:rsidRPr="007F0F6E" w:rsidRDefault="00FB700C" w:rsidP="007F0F6E">
            <w:pPr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skaźniki czynności wątroby i nerek:</w:t>
            </w:r>
          </w:p>
          <w:p w14:paraId="7A6EFE86" w14:textId="77777777" w:rsidR="003F229D" w:rsidRPr="007F0F6E" w:rsidRDefault="00036722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tężenie całkowitej bilirubiny nieprzekraczające 2- krotnie górnej granicy normy (z wyjątkiem chorych z zespołem Gilberta),</w:t>
            </w:r>
          </w:p>
          <w:p w14:paraId="0F274BC0" w14:textId="77777777" w:rsidR="003F229D" w:rsidRPr="007F0F6E" w:rsidRDefault="00036722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proofErr w:type="spellStart"/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tywność</w:t>
            </w:r>
            <w:proofErr w:type="spellEnd"/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transaminaz (alaninowej i asparaginowej) w surowicy nieprzekraczająca 5-krotnie górnej granicy normy,</w:t>
            </w:r>
          </w:p>
          <w:p w14:paraId="7191BBF8" w14:textId="711DA466" w:rsidR="006843A7" w:rsidRPr="007F0F6E" w:rsidRDefault="00036722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</w:t>
            </w:r>
            <w:r w:rsidR="003F229D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tężenie kreatyniny w surowicy </w:t>
            </w:r>
            <w:r w:rsidR="00B23925" w:rsidRPr="007F0F6E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 xml:space="preserve">stężenie kreatyniny poniżej 1,5xGGN lub </w:t>
            </w:r>
            <w:proofErr w:type="spellStart"/>
            <w:r w:rsidR="00B23925" w:rsidRPr="007F0F6E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klirens</w:t>
            </w:r>
            <w:proofErr w:type="spellEnd"/>
            <w:r w:rsidR="00B23925" w:rsidRPr="007F0F6E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 xml:space="preserve"> kreatyniny powyżej 30 ml/min</w:t>
            </w:r>
          </w:p>
          <w:p w14:paraId="7EE51446" w14:textId="77777777" w:rsidR="00F637AB" w:rsidRPr="007F0F6E" w:rsidRDefault="00DB52A3" w:rsidP="007F0F6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wykluczenie</w:t>
            </w:r>
            <w:r w:rsidR="00F637AB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przeciwskazań do zastosowania </w:t>
            </w:r>
            <w:proofErr w:type="spellStart"/>
            <w:r w:rsidR="00F637AB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bewacyzumabu</w:t>
            </w:r>
            <w:proofErr w:type="spellEnd"/>
            <w:r w:rsidR="00F637AB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 którymi są:</w:t>
            </w:r>
          </w:p>
          <w:p w14:paraId="3547B2F2" w14:textId="77777777" w:rsidR="00036722" w:rsidRPr="007F0F6E" w:rsidRDefault="00036722" w:rsidP="007F0F6E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zabieg operacyjny przebyty w ciągu mniej niż 4 tygodni od momentu kwalifikacji do leczenia,</w:t>
            </w:r>
          </w:p>
          <w:p w14:paraId="1AA8CEF3" w14:textId="77777777" w:rsidR="00036722" w:rsidRPr="007F0F6E" w:rsidRDefault="00036722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czynna choroba wrzodowa żołądka lub dwunastnicy,</w:t>
            </w:r>
          </w:p>
          <w:p w14:paraId="5917FC5E" w14:textId="77777777" w:rsidR="00036722" w:rsidRPr="007F0F6E" w:rsidRDefault="00036722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niestabilne nadciśnienie tętnicze,</w:t>
            </w:r>
          </w:p>
          <w:p w14:paraId="083995EB" w14:textId="77777777" w:rsidR="00036722" w:rsidRPr="007F0F6E" w:rsidRDefault="00036722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niestabilna choroba niedokrwienna serca,</w:t>
            </w:r>
          </w:p>
          <w:p w14:paraId="2438FDD6" w14:textId="77777777" w:rsidR="00036722" w:rsidRPr="007F0F6E" w:rsidRDefault="00036722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naczyniowe choroby ośrodkowego układu nerwowego w wywiadzie,</w:t>
            </w:r>
          </w:p>
          <w:p w14:paraId="396ECDB0" w14:textId="77777777" w:rsidR="00036722" w:rsidRPr="007F0F6E" w:rsidRDefault="00036722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wrodzona skaza krwotoczna lub nabyta koagulopatia,</w:t>
            </w:r>
          </w:p>
          <w:p w14:paraId="6AD5B5B2" w14:textId="77777777" w:rsidR="00036722" w:rsidRPr="007F0F6E" w:rsidRDefault="00036722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stany chorobowe przebiegające ze zwiększonym ryzykiem krwawień,</w:t>
            </w:r>
          </w:p>
          <w:p w14:paraId="23A868EC" w14:textId="77777777" w:rsidR="00036722" w:rsidRPr="007F0F6E" w:rsidRDefault="00036722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stosowanie leków przeciwkrzepliwych lub antyagregacyjnych (z wyłączeniem stosowania w dawkach profilaktycznych)</w:t>
            </w:r>
          </w:p>
          <w:p w14:paraId="0ECDF7EF" w14:textId="77777777" w:rsidR="00036722" w:rsidRPr="007F0F6E" w:rsidRDefault="00036722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niegojące się rany,</w:t>
            </w:r>
          </w:p>
          <w:p w14:paraId="0EAD4945" w14:textId="76C50E7A" w:rsidR="00036722" w:rsidRPr="007F0F6E" w:rsidRDefault="001D206F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białkomocz poniżej 2+ w teście paskowym lub stężenie białka w moczu poniżej</w:t>
            </w:r>
          </w:p>
          <w:p w14:paraId="28E08D72" w14:textId="77777777" w:rsidR="00F637AB" w:rsidRPr="007F0F6E" w:rsidRDefault="00036722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nadwrażliwość na lek lub którąkolwiek z substancji pomocniczych.</w:t>
            </w:r>
          </w:p>
          <w:p w14:paraId="499F1CCA" w14:textId="569FB951" w:rsidR="00FB700C" w:rsidRPr="007F0F6E" w:rsidRDefault="001D206F" w:rsidP="007F0F6E">
            <w:pPr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obecność obustronnego zwężenia moczowodów jeżeli nie zostało ono leczone przezskórnym lub cewnikiem moczowodowym</w:t>
            </w: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78204B12" w14:textId="77777777" w:rsidR="006843A7" w:rsidRPr="007F0F6E" w:rsidRDefault="00FB700C" w:rsidP="007F0F6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6843A7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ykluczenie współwystępowania innych nowotworów złośliwych leczonych z założeniem paliatywnym (niezależnie od uzyskanej odpowiedzi) oraz nieuzyskanie całkowitej odpowiedzi w przypadku nowotworów leczonych z założeniem radykalnym;</w:t>
            </w:r>
          </w:p>
          <w:p w14:paraId="09ECDBA4" w14:textId="77777777" w:rsidR="006843A7" w:rsidRPr="007F0F6E" w:rsidRDefault="00FB700C" w:rsidP="007F0F6E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</w:t>
            </w:r>
            <w:r w:rsidR="006843A7"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stąpienie lub zmniejszenie do 1. stopnia nasilenia niepożądanych działań związanych z wcześniejszym leczeniem</w:t>
            </w:r>
          </w:p>
          <w:p w14:paraId="0EF59B50" w14:textId="77777777" w:rsidR="00036722" w:rsidRPr="007F0F6E" w:rsidRDefault="00036722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Powyższe kryteria kwalifikacji muszą być spełnione łącznie.</w:t>
            </w:r>
          </w:p>
          <w:p w14:paraId="7F53F87E" w14:textId="77777777" w:rsidR="00036722" w:rsidRPr="007F0F6E" w:rsidRDefault="00036722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5370EEF6" w14:textId="77777777" w:rsidR="00036722" w:rsidRPr="007F0F6E" w:rsidRDefault="00036722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Ponadto do programu lekowego kwalifikowani są również pacjenci, którzy byli leczeni </w:t>
            </w:r>
            <w:proofErr w:type="spellStart"/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bewacyzumabem</w:t>
            </w:r>
            <w:proofErr w:type="spellEnd"/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w ramach innego sposobu finansowania terapii, pod warunkiem, że w chwili rozpoczęcia leczenia spełniali kryteria kwalifikacji do niniejszego programu lekowego</w:t>
            </w:r>
          </w:p>
          <w:p w14:paraId="2E8C3081" w14:textId="77777777" w:rsidR="003F229D" w:rsidRPr="007F0F6E" w:rsidRDefault="003F229D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532D963C" w14:textId="3D506481" w:rsidR="003F229D" w:rsidRPr="007F0F6E" w:rsidRDefault="003F229D" w:rsidP="007F0F6E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Określenie czasu leczenia w programie</w:t>
            </w:r>
          </w:p>
          <w:p w14:paraId="12084E8F" w14:textId="77777777" w:rsidR="003F229D" w:rsidRPr="007F0F6E" w:rsidRDefault="00CD223B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 powinno być prowadzone do czasu wystąpienia progresji choroby lub wystąpienia niepożądanych działań o istotnym znaczeniu klinicznym w ocenie lekarza, które nie ustępują po zastosowaniu przerwy w leczeniu oraz redukcji dawki leku.</w:t>
            </w:r>
          </w:p>
          <w:p w14:paraId="63BA8E34" w14:textId="77777777" w:rsidR="00CD223B" w:rsidRPr="007F0F6E" w:rsidRDefault="00CD223B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06EE3AF5" w14:textId="0159F4C4" w:rsidR="003F229D" w:rsidRPr="007F0F6E" w:rsidRDefault="003F229D" w:rsidP="007F0F6E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Kryteria wyłączenia z programu</w:t>
            </w:r>
          </w:p>
          <w:p w14:paraId="6B94F65E" w14:textId="683635A6" w:rsidR="00CD223B" w:rsidRPr="007F0F6E" w:rsidRDefault="00CD223B" w:rsidP="007F0F6E">
            <w:pPr>
              <w:pStyle w:val="Akapitzlist"/>
              <w:numPr>
                <w:ilvl w:val="3"/>
                <w:numId w:val="23"/>
              </w:numPr>
              <w:spacing w:after="60"/>
              <w:contextualSpacing w:val="0"/>
              <w:jc w:val="both"/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</w:pPr>
            <w:r w:rsidRPr="007F0F6E"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  <w:t xml:space="preserve">Wystąpienie progresji choroby potwierdzonej w badaniu przedmiotowym lub obrazowym ocenionej według kryteriów skali </w:t>
            </w:r>
            <w:r w:rsidR="00305580" w:rsidRPr="007F0F6E"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  <w:t>RECIST według obecnie obowiązującej wersji</w:t>
            </w:r>
          </w:p>
          <w:p w14:paraId="4CBC69DC" w14:textId="175705D0" w:rsidR="00CD223B" w:rsidRPr="007F0F6E" w:rsidRDefault="00CD223B" w:rsidP="007F0F6E">
            <w:pPr>
              <w:pStyle w:val="Akapitzlist"/>
              <w:numPr>
                <w:ilvl w:val="4"/>
                <w:numId w:val="23"/>
              </w:numPr>
              <w:spacing w:after="60"/>
              <w:contextualSpacing w:val="0"/>
              <w:jc w:val="both"/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</w:pPr>
            <w:r w:rsidRPr="007F0F6E"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  <w:lastRenderedPageBreak/>
              <w:t>zwiększenie się sumy największych wymiarów zmian docelowych o ≥20% i o co najmniej 5 mm w porównaniu z najmniejszą odnotowaną sumą wymiarów zmian lub</w:t>
            </w:r>
          </w:p>
          <w:p w14:paraId="7336048B" w14:textId="0AE47A4F" w:rsidR="00CD223B" w:rsidRPr="007F0F6E" w:rsidRDefault="00CD223B" w:rsidP="007F0F6E">
            <w:pPr>
              <w:pStyle w:val="Akapitzlist"/>
              <w:numPr>
                <w:ilvl w:val="4"/>
                <w:numId w:val="23"/>
              </w:numPr>
              <w:spacing w:after="60"/>
              <w:contextualSpacing w:val="0"/>
              <w:jc w:val="both"/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</w:pPr>
            <w:r w:rsidRPr="007F0F6E"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  <w:t>pojawienie się co najmniej jednej nowej zmiany;</w:t>
            </w:r>
          </w:p>
          <w:p w14:paraId="7A5950B6" w14:textId="77777777" w:rsidR="00CD223B" w:rsidRPr="007F0F6E" w:rsidRDefault="00CD223B" w:rsidP="007F0F6E">
            <w:pPr>
              <w:pStyle w:val="Akapitzlist"/>
              <w:numPr>
                <w:ilvl w:val="3"/>
                <w:numId w:val="23"/>
              </w:numPr>
              <w:spacing w:after="60"/>
              <w:contextualSpacing w:val="0"/>
              <w:jc w:val="both"/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</w:pPr>
            <w:r w:rsidRPr="007F0F6E"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  <w:t>Pogorszenie (istotne klinicznie) stanu pacjenta w związku z nowotworem bez progresji potwierdzonej w badaniu przedmiotowym lub obrazowym;</w:t>
            </w:r>
          </w:p>
          <w:p w14:paraId="4F7A5F03" w14:textId="77777777" w:rsidR="00CD223B" w:rsidRPr="007F0F6E" w:rsidRDefault="00CD223B" w:rsidP="007F0F6E">
            <w:pPr>
              <w:pStyle w:val="Akapitzlist"/>
              <w:numPr>
                <w:ilvl w:val="3"/>
                <w:numId w:val="23"/>
              </w:numPr>
              <w:spacing w:after="60"/>
              <w:contextualSpacing w:val="0"/>
              <w:jc w:val="both"/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</w:pPr>
            <w:r w:rsidRPr="007F0F6E"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  <w:t>Wystąpienie klinicznie istotnej toksyczności leczenia lub wystąpienie przynajmniej jednego działania niepożądanego będącego zagrożeniem życia według kryteriów klasyfikacji CTC-AE w wersji 4.03.</w:t>
            </w:r>
          </w:p>
          <w:p w14:paraId="249BCA89" w14:textId="77777777" w:rsidR="00A121C5" w:rsidRPr="007F0F6E" w:rsidRDefault="00CD223B" w:rsidP="007F0F6E">
            <w:pPr>
              <w:pStyle w:val="Akapitzlist"/>
              <w:numPr>
                <w:ilvl w:val="3"/>
                <w:numId w:val="23"/>
              </w:numPr>
              <w:spacing w:after="60"/>
              <w:contextualSpacing w:val="0"/>
              <w:jc w:val="both"/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</w:pPr>
            <w:r w:rsidRPr="007F0F6E"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  <w:t>Wystąpienie nawracającej lub nieakceptowalnej toksyczności leczenia w stopniu 3. lub 4. według kryteriów klasyfikacji CTC-AE w wersji 4.03. (wznowienie leczenia możliwe po ustąpieniu objawów toksyczności lub zmniejszeniu nasilenia do stopnia 1. lub 2. według kryteriów CTC-AE w wersji 4.03.)</w:t>
            </w:r>
          </w:p>
          <w:p w14:paraId="07B5B873" w14:textId="77777777" w:rsidR="00A121C5" w:rsidRPr="007F0F6E" w:rsidRDefault="00CD223B" w:rsidP="007F0F6E">
            <w:pPr>
              <w:pStyle w:val="Akapitzlist"/>
              <w:numPr>
                <w:ilvl w:val="3"/>
                <w:numId w:val="23"/>
              </w:numPr>
              <w:spacing w:after="60"/>
              <w:contextualSpacing w:val="0"/>
              <w:jc w:val="both"/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</w:pPr>
            <w:r w:rsidRPr="007F0F6E"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  <w:t xml:space="preserve">Obniżenie sprawności do stopnia 2-4 według kryteriów </w:t>
            </w:r>
            <w:proofErr w:type="spellStart"/>
            <w:r w:rsidRPr="007F0F6E"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  <w:t>Zubroda</w:t>
            </w:r>
            <w:proofErr w:type="spellEnd"/>
            <w:r w:rsidRPr="007F0F6E"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  <w:t>-WHO lub ECOG</w:t>
            </w:r>
          </w:p>
          <w:p w14:paraId="6171BC9D" w14:textId="77777777" w:rsidR="00A121C5" w:rsidRPr="007F0F6E" w:rsidRDefault="00CD223B" w:rsidP="007F0F6E">
            <w:pPr>
              <w:pStyle w:val="Akapitzlist"/>
              <w:numPr>
                <w:ilvl w:val="3"/>
                <w:numId w:val="23"/>
              </w:numPr>
              <w:spacing w:after="60"/>
              <w:contextualSpacing w:val="0"/>
              <w:jc w:val="both"/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</w:pPr>
            <w:r w:rsidRPr="007F0F6E"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  <w:t>Wystąpienie nadwrażliwości na lek, białko mysie lub substancję pomocniczą uniemożliwiające kontynuacje leczenia;</w:t>
            </w:r>
          </w:p>
          <w:p w14:paraId="635DACA6" w14:textId="77777777" w:rsidR="00A121C5" w:rsidRPr="007F0F6E" w:rsidRDefault="00CD223B" w:rsidP="007F0F6E">
            <w:pPr>
              <w:pStyle w:val="Akapitzlist"/>
              <w:numPr>
                <w:ilvl w:val="3"/>
                <w:numId w:val="23"/>
              </w:numPr>
              <w:spacing w:after="60"/>
              <w:contextualSpacing w:val="0"/>
              <w:jc w:val="both"/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</w:pPr>
            <w:r w:rsidRPr="007F0F6E"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  <w:t>Pogorszenie jakości życia o istotnym znaczeniu według oceny lekarza;</w:t>
            </w:r>
          </w:p>
          <w:p w14:paraId="1BB53F70" w14:textId="696AFABD" w:rsidR="00CD223B" w:rsidRPr="007F0F6E" w:rsidRDefault="00CD223B" w:rsidP="007F0F6E">
            <w:pPr>
              <w:pStyle w:val="Akapitzlist"/>
              <w:numPr>
                <w:ilvl w:val="3"/>
                <w:numId w:val="23"/>
              </w:numPr>
              <w:spacing w:after="60"/>
              <w:contextualSpacing w:val="0"/>
              <w:jc w:val="both"/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</w:pPr>
            <w:r w:rsidRPr="007F0F6E"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  <w:t>Okres ciąży lub karmienia piersią – z wyjątkiem przypadków w których lekarz wspólnie z Konsultantem Krajowym oceni, że ryzyko zastosowania terapii przeciwnowotworowej ma większą korzyść niż ryzyko i uzasadnione jest finansowanie terapii w programie w takim przypadku</w:t>
            </w:r>
            <w:r w:rsidR="00CB0610">
              <w:rPr>
                <w:rFonts w:ascii="Times New Roman" w:eastAsia="Calibri" w:hAnsi="Times New Roman"/>
                <w:sz w:val="20"/>
                <w:szCs w:val="20"/>
                <w:lang w:val="pl-PL" w:eastAsia="en-US"/>
              </w:rPr>
              <w:t>.</w:t>
            </w:r>
          </w:p>
          <w:p w14:paraId="134F6B14" w14:textId="77777777" w:rsidR="003F229D" w:rsidRPr="007F0F6E" w:rsidRDefault="003F229D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34" w:type="pct"/>
            <w:shd w:val="clear" w:color="auto" w:fill="auto"/>
          </w:tcPr>
          <w:p w14:paraId="68CBAB5D" w14:textId="77777777" w:rsidR="003C3EEC" w:rsidRPr="007F0F6E" w:rsidRDefault="003C3EEC" w:rsidP="007F0F6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lastRenderedPageBreak/>
              <w:t>Bewacyzumab</w:t>
            </w:r>
            <w:proofErr w:type="spellEnd"/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–</w:t>
            </w:r>
            <w:r w:rsidR="00D9715F"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15 mg/kg masy ciała dożylnie we wlewie trwającym 30-90 minut – dzień 1</w:t>
            </w:r>
          </w:p>
          <w:p w14:paraId="687A0B77" w14:textId="77777777" w:rsidR="003C3EEC" w:rsidRPr="007F0F6E" w:rsidRDefault="003C3EEC" w:rsidP="007F0F6E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Rytm co 3 tygodnie </w:t>
            </w:r>
          </w:p>
          <w:p w14:paraId="5B90A9A8" w14:textId="77777777" w:rsidR="003C3EEC" w:rsidRPr="007F0F6E" w:rsidRDefault="003C3EEC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7F0F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Całkowity czas aktywnej terapii </w:t>
            </w:r>
            <w:proofErr w:type="spellStart"/>
            <w:r w:rsidRPr="007F0F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bewacyzumabem</w:t>
            </w:r>
            <w:proofErr w:type="spellEnd"/>
            <w:r w:rsidR="002916C6" w:rsidRPr="007F0F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trwa</w:t>
            </w:r>
            <w:r w:rsidRPr="007F0F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:</w:t>
            </w:r>
          </w:p>
          <w:p w14:paraId="57C97503" w14:textId="77777777" w:rsidR="003C3EEC" w:rsidRPr="007F0F6E" w:rsidRDefault="003C3EEC" w:rsidP="007F0F6E">
            <w:pPr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7F0F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do czasu wystąpienia progresji choroby</w:t>
            </w:r>
          </w:p>
          <w:p w14:paraId="669ACBE7" w14:textId="77777777" w:rsidR="003C3EEC" w:rsidRPr="007F0F6E" w:rsidRDefault="003C3EEC" w:rsidP="007F0F6E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7F0F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albo</w:t>
            </w:r>
          </w:p>
          <w:p w14:paraId="5B8D58A0" w14:textId="77777777" w:rsidR="003C3EEC" w:rsidRPr="007F0F6E" w:rsidRDefault="003C3EEC" w:rsidP="007F0F6E">
            <w:pPr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7F0F6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do wystąpienia niepożądanych działań o istotnym znaczeniu klinicznym;</w:t>
            </w:r>
          </w:p>
          <w:p w14:paraId="1359D05D" w14:textId="77777777" w:rsidR="00A3131B" w:rsidRPr="007F0F6E" w:rsidRDefault="00A3131B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Bewacyzumab</w:t>
            </w:r>
            <w:proofErr w:type="spellEnd"/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podaję się w skojarzeniu z chemioterapią (rozliczaną z NFZ z katalogu chemioterapii) prowadzoną w następujący sposób:</w:t>
            </w:r>
          </w:p>
          <w:p w14:paraId="779B3727" w14:textId="3552895D" w:rsidR="00A3131B" w:rsidRPr="007F0F6E" w:rsidRDefault="00A3131B" w:rsidP="007F0F6E">
            <w:pPr>
              <w:numPr>
                <w:ilvl w:val="5"/>
                <w:numId w:val="2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paklitaksel</w:t>
            </w:r>
            <w:proofErr w:type="spellEnd"/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135 mg/m</w:t>
            </w:r>
            <w:r w:rsidRPr="007F0F6E">
              <w:rPr>
                <w:rFonts w:ascii="Times New Roman" w:hAnsi="Times New Roman"/>
                <w:sz w:val="20"/>
                <w:szCs w:val="20"/>
                <w:vertAlign w:val="superscript"/>
                <w:lang w:val="pl-PL"/>
              </w:rPr>
              <w:t>2</w:t>
            </w: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(wlew 24-godzinny)– dzień 1</w:t>
            </w:r>
          </w:p>
          <w:p w14:paraId="7C009E31" w14:textId="54774799" w:rsidR="00A3131B" w:rsidRPr="007F0F6E" w:rsidRDefault="00A3131B" w:rsidP="007F0F6E">
            <w:pPr>
              <w:numPr>
                <w:ilvl w:val="5"/>
                <w:numId w:val="2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7F0F6E">
              <w:rPr>
                <w:rFonts w:ascii="Times New Roman" w:hAnsi="Times New Roman"/>
                <w:b/>
                <w:bCs/>
                <w:sz w:val="20"/>
                <w:szCs w:val="20"/>
              </w:rPr>
              <w:t>cisplatyna</w:t>
            </w:r>
            <w:proofErr w:type="spellEnd"/>
            <w:r w:rsidRPr="007F0F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50 mg/m</w:t>
            </w:r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</w:rPr>
              <w:t>2</w:t>
            </w:r>
            <w:r w:rsidRPr="007F0F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 w:rsidRPr="007F0F6E">
              <w:rPr>
                <w:rFonts w:ascii="Times New Roman" w:hAnsi="Times New Roman"/>
                <w:sz w:val="20"/>
                <w:szCs w:val="20"/>
              </w:rPr>
              <w:t>dzień</w:t>
            </w:r>
            <w:proofErr w:type="spellEnd"/>
            <w:r w:rsidRPr="007F0F6E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  <w:p w14:paraId="3EC1B05E" w14:textId="77777777" w:rsidR="00A3131B" w:rsidRPr="007F0F6E" w:rsidRDefault="00A3131B" w:rsidP="007F0F6E">
            <w:pPr>
              <w:autoSpaceDE w:val="0"/>
              <w:autoSpaceDN w:val="0"/>
              <w:adjustRightInd w:val="0"/>
              <w:spacing w:after="60"/>
              <w:ind w:left="68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F0F6E">
              <w:rPr>
                <w:rFonts w:ascii="Times New Roman" w:hAnsi="Times New Roman"/>
                <w:sz w:val="20"/>
                <w:szCs w:val="20"/>
              </w:rPr>
              <w:t>lub</w:t>
            </w:r>
            <w:proofErr w:type="spellEnd"/>
          </w:p>
          <w:p w14:paraId="2797D5A6" w14:textId="7EA21718" w:rsidR="00A3131B" w:rsidRPr="007F0F6E" w:rsidRDefault="00A3131B" w:rsidP="007F0F6E">
            <w:pPr>
              <w:numPr>
                <w:ilvl w:val="5"/>
                <w:numId w:val="2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paklitaksel</w:t>
            </w:r>
            <w:proofErr w:type="spellEnd"/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175 m</w:t>
            </w:r>
            <w:r w:rsidR="00C23233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g</w:t>
            </w: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/m</w:t>
            </w:r>
            <w:r w:rsidRPr="007F0F6E">
              <w:rPr>
                <w:rFonts w:ascii="Times New Roman" w:hAnsi="Times New Roman"/>
                <w:sz w:val="20"/>
                <w:szCs w:val="20"/>
                <w:vertAlign w:val="superscript"/>
                <w:lang w:val="pl-PL"/>
              </w:rPr>
              <w:t>2</w:t>
            </w: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(wlew 3-godzinny)– dzień 1</w:t>
            </w:r>
          </w:p>
          <w:p w14:paraId="06EC106F" w14:textId="77777777" w:rsidR="00A3131B" w:rsidRPr="007F0F6E" w:rsidRDefault="00A3131B" w:rsidP="007F0F6E">
            <w:pPr>
              <w:numPr>
                <w:ilvl w:val="5"/>
                <w:numId w:val="25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7F0F6E">
              <w:rPr>
                <w:rFonts w:ascii="Times New Roman" w:hAnsi="Times New Roman"/>
                <w:b/>
                <w:bCs/>
                <w:sz w:val="20"/>
                <w:szCs w:val="20"/>
              </w:rPr>
              <w:t>cisplatyna</w:t>
            </w:r>
            <w:proofErr w:type="spellEnd"/>
            <w:r w:rsidRPr="007F0F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50 mg/m</w:t>
            </w:r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</w:rPr>
              <w:t>2</w:t>
            </w:r>
            <w:r w:rsidRPr="007F0F6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 w:rsidRPr="007F0F6E">
              <w:rPr>
                <w:rFonts w:ascii="Times New Roman" w:hAnsi="Times New Roman"/>
                <w:sz w:val="20"/>
                <w:szCs w:val="20"/>
              </w:rPr>
              <w:t>dzień</w:t>
            </w:r>
            <w:proofErr w:type="spellEnd"/>
            <w:r w:rsidRPr="007F0F6E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  <w:p w14:paraId="293F1E9C" w14:textId="77777777" w:rsidR="00A3131B" w:rsidRPr="007F0F6E" w:rsidRDefault="00A3131B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F0F6E">
              <w:rPr>
                <w:rFonts w:ascii="Times New Roman" w:hAnsi="Times New Roman"/>
                <w:sz w:val="20"/>
                <w:szCs w:val="20"/>
              </w:rPr>
              <w:t>Rytm</w:t>
            </w:r>
            <w:proofErr w:type="spellEnd"/>
            <w:r w:rsidRPr="007F0F6E">
              <w:rPr>
                <w:rFonts w:ascii="Times New Roman" w:hAnsi="Times New Roman"/>
                <w:sz w:val="20"/>
                <w:szCs w:val="20"/>
              </w:rPr>
              <w:t xml:space="preserve">: co 3 </w:t>
            </w:r>
            <w:proofErr w:type="spellStart"/>
            <w:r w:rsidRPr="007F0F6E">
              <w:rPr>
                <w:rFonts w:ascii="Times New Roman" w:hAnsi="Times New Roman"/>
                <w:sz w:val="20"/>
                <w:szCs w:val="20"/>
              </w:rPr>
              <w:t>tygodnie</w:t>
            </w:r>
            <w:proofErr w:type="spellEnd"/>
          </w:p>
          <w:p w14:paraId="21B84065" w14:textId="77777777" w:rsidR="00D9715F" w:rsidRPr="007F0F6E" w:rsidRDefault="00D9715F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348B26E1" w14:textId="77777777" w:rsidR="00D9715F" w:rsidRPr="007F0F6E" w:rsidRDefault="00D9715F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W przypadku pacjentek, które nie mogą być leczone związkami platyny</w:t>
            </w:r>
            <w:r w:rsidR="002916C6"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dopuszcza się skojarzenie </w:t>
            </w:r>
            <w:proofErr w:type="spellStart"/>
            <w:r w:rsidR="002916C6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bewacyzumabu</w:t>
            </w:r>
            <w:proofErr w:type="spellEnd"/>
            <w:r w:rsidR="002916C6"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następującym schematem chemioterapii:</w:t>
            </w:r>
          </w:p>
          <w:p w14:paraId="595F4474" w14:textId="77777777" w:rsidR="002916C6" w:rsidRPr="007F0F6E" w:rsidRDefault="002916C6" w:rsidP="007F0F6E">
            <w:pPr>
              <w:pStyle w:val="Akapitzlist"/>
              <w:numPr>
                <w:ilvl w:val="5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topotekan</w:t>
            </w:r>
            <w:proofErr w:type="spellEnd"/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0,75 mg/m</w:t>
            </w:r>
            <w:r w:rsidRPr="007F0F6E">
              <w:rPr>
                <w:rFonts w:ascii="Times New Roman" w:hAnsi="Times New Roman"/>
                <w:sz w:val="20"/>
                <w:szCs w:val="20"/>
                <w:vertAlign w:val="superscript"/>
                <w:lang w:val="pl-PL"/>
              </w:rPr>
              <w:t>2</w:t>
            </w: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w dniach 1.-3., </w:t>
            </w:r>
          </w:p>
          <w:p w14:paraId="36D1F141" w14:textId="77777777" w:rsidR="002916C6" w:rsidRPr="007F0F6E" w:rsidRDefault="002916C6" w:rsidP="007F0F6E">
            <w:pPr>
              <w:pStyle w:val="Akapitzlist"/>
              <w:numPr>
                <w:ilvl w:val="5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paklitaksel</w:t>
            </w:r>
            <w:proofErr w:type="spellEnd"/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175 mg/m</w:t>
            </w:r>
            <w:r w:rsidRPr="007F0F6E">
              <w:rPr>
                <w:rFonts w:ascii="Times New Roman" w:hAnsi="Times New Roman"/>
                <w:sz w:val="20"/>
                <w:szCs w:val="20"/>
                <w:vertAlign w:val="superscript"/>
                <w:lang w:val="pl-PL"/>
              </w:rPr>
              <w:t>2</w:t>
            </w: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, dnia 1.</w:t>
            </w:r>
          </w:p>
          <w:p w14:paraId="2F211FA9" w14:textId="77777777" w:rsidR="00D9715F" w:rsidRPr="007F0F6E" w:rsidRDefault="002916C6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Rytm: co 3 tygodnie</w:t>
            </w:r>
          </w:p>
          <w:p w14:paraId="24C85017" w14:textId="77777777" w:rsidR="00D9715F" w:rsidRPr="007F0F6E" w:rsidRDefault="00D9715F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  <w:p w14:paraId="33B556F3" w14:textId="77777777" w:rsidR="002916C6" w:rsidRPr="007F0F6E" w:rsidRDefault="002916C6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Modyfikacje dawkowania oraz rytmu podawania leków zgodnie z zapisami odpowiednich Charakterystyk Produktów Leczniczych aktualnych na dzień wydania decyzji o objęciu refundacją w ramach tego programu. </w:t>
            </w:r>
          </w:p>
          <w:p w14:paraId="4ED584E3" w14:textId="77777777" w:rsidR="002916C6" w:rsidRPr="007F0F6E" w:rsidRDefault="002916C6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  <w:p w14:paraId="7057E5C8" w14:textId="77777777" w:rsidR="003F229D" w:rsidRPr="007F0F6E" w:rsidRDefault="003F229D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W przypadku konieczności zakończenia jednego lub dwóch leków ze schematu z powodu specyficznych toksyczności, można kontynuować terapię pozostałymi lekami (lub lekiem) ze schematu.</w:t>
            </w:r>
          </w:p>
          <w:p w14:paraId="77172A61" w14:textId="77777777" w:rsidR="003F229D" w:rsidRPr="007F0F6E" w:rsidRDefault="003F229D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4EC1CDD6" w14:textId="77777777" w:rsidR="003F229D" w:rsidRPr="007F0F6E" w:rsidRDefault="003F229D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34" w:type="pct"/>
            <w:shd w:val="clear" w:color="auto" w:fill="auto"/>
          </w:tcPr>
          <w:p w14:paraId="7C027BA8" w14:textId="6C4F883A" w:rsidR="00A121C5" w:rsidRPr="007F0F6E" w:rsidRDefault="00A121C5" w:rsidP="007F0F6E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lastRenderedPageBreak/>
              <w:t xml:space="preserve">Leczenie raka szyjki macicy przy wykorzystaniu substancji czynnej </w:t>
            </w:r>
            <w:proofErr w:type="spellStart"/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bewacyzumab</w:t>
            </w:r>
            <w:proofErr w:type="spellEnd"/>
          </w:p>
          <w:p w14:paraId="18D9ED57" w14:textId="77777777" w:rsidR="00A121C5" w:rsidRPr="007F0F6E" w:rsidRDefault="00A121C5" w:rsidP="007F0F6E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Badania przy kwalifikacji</w:t>
            </w:r>
          </w:p>
          <w:p w14:paraId="7B72D8B3" w14:textId="77777777" w:rsidR="003F229D" w:rsidRPr="007F0F6E" w:rsidRDefault="00A121C5" w:rsidP="007F0F6E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h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istologiczne potwierdzenie raka szyjki macicy;</w:t>
            </w:r>
          </w:p>
          <w:p w14:paraId="7FF050C5" w14:textId="77777777" w:rsidR="003F229D" w:rsidRPr="007F0F6E" w:rsidRDefault="00A121C5" w:rsidP="007F0F6E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m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orfologia krwi z rozmazem;</w:t>
            </w:r>
          </w:p>
          <w:p w14:paraId="41579E9C" w14:textId="77777777" w:rsidR="003F229D" w:rsidRPr="007F0F6E" w:rsidRDefault="00A121C5" w:rsidP="007F0F6E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znaczenie w surowicy stężenia:</w:t>
            </w:r>
          </w:p>
          <w:p w14:paraId="596CA90D" w14:textId="77777777" w:rsidR="003F229D" w:rsidRPr="007F0F6E" w:rsidRDefault="00927359" w:rsidP="007F0F6E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m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ocznika,</w:t>
            </w:r>
          </w:p>
          <w:p w14:paraId="389E4485" w14:textId="77777777" w:rsidR="003F229D" w:rsidRPr="007F0F6E" w:rsidRDefault="00927359" w:rsidP="007F0F6E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k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reatyniny (</w:t>
            </w:r>
            <w:proofErr w:type="spellStart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eGFR</w:t>
            </w:r>
            <w:proofErr w:type="spellEnd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),</w:t>
            </w:r>
          </w:p>
          <w:p w14:paraId="2AB77244" w14:textId="77777777" w:rsidR="003F229D" w:rsidRPr="007F0F6E" w:rsidRDefault="00927359" w:rsidP="007F0F6E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ilirubiny;</w:t>
            </w:r>
          </w:p>
          <w:p w14:paraId="5AA76D46" w14:textId="77777777" w:rsidR="003F229D" w:rsidRPr="007F0F6E" w:rsidRDefault="00927359" w:rsidP="007F0F6E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znaczenie aktywności transaminaz (</w:t>
            </w:r>
            <w:proofErr w:type="spellStart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AspAT</w:t>
            </w:r>
            <w:proofErr w:type="spellEnd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AlAT</w:t>
            </w:r>
            <w:proofErr w:type="spellEnd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),</w:t>
            </w:r>
          </w:p>
          <w:p w14:paraId="6417F6B6" w14:textId="77777777" w:rsidR="003F229D" w:rsidRPr="007F0F6E" w:rsidRDefault="00927359" w:rsidP="007F0F6E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znaczenie czasu </w:t>
            </w:r>
            <w:proofErr w:type="spellStart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kaolinowokefalinowego</w:t>
            </w:r>
            <w:proofErr w:type="spellEnd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(APTT);</w:t>
            </w:r>
          </w:p>
          <w:p w14:paraId="06608D9F" w14:textId="77777777" w:rsidR="003F229D" w:rsidRPr="007F0F6E" w:rsidRDefault="00927359" w:rsidP="007F0F6E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znaczenie INR lub czasu </w:t>
            </w:r>
            <w:proofErr w:type="spellStart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protrombinowego</w:t>
            </w:r>
            <w:proofErr w:type="spellEnd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(PT);</w:t>
            </w:r>
          </w:p>
          <w:p w14:paraId="4125B6A6" w14:textId="77777777" w:rsidR="003F229D" w:rsidRPr="007F0F6E" w:rsidRDefault="00927359" w:rsidP="007F0F6E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adanie ogólne moczu; po RTH białkomocz, </w:t>
            </w:r>
            <w:proofErr w:type="spellStart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kwinkomocz</w:t>
            </w:r>
            <w:proofErr w:type="spellEnd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i leukocyturia</w:t>
            </w:r>
          </w:p>
          <w:p w14:paraId="5EDCC662" w14:textId="77777777" w:rsidR="003F229D" w:rsidRPr="007F0F6E" w:rsidRDefault="00927359" w:rsidP="007F0F6E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jeżeli zachodzi konieczność wykluczenia ciąży wykonuje się próbę ciążową;</w:t>
            </w:r>
          </w:p>
          <w:p w14:paraId="56B393C3" w14:textId="77777777" w:rsidR="003F229D" w:rsidRPr="007F0F6E" w:rsidRDefault="00927359" w:rsidP="007F0F6E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adanie tomografii komputerowej jamy brzusznej i miednicy oraz innych okolic ciała w zależności od wskazań klinicznych;</w:t>
            </w:r>
          </w:p>
          <w:p w14:paraId="42388AD6" w14:textId="77777777" w:rsidR="003F229D" w:rsidRPr="007F0F6E" w:rsidRDefault="00927359" w:rsidP="007F0F6E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b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adanie tomografii komputerowej lub rezonansu magnetycznego mózgu w przypadku wskazań klinicznych w celu obrazowania przerzutów do OUN;</w:t>
            </w:r>
          </w:p>
          <w:p w14:paraId="0E331C45" w14:textId="77777777" w:rsidR="003F229D" w:rsidRPr="007F0F6E" w:rsidRDefault="00927359" w:rsidP="007F0F6E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adanie RTG klatki piersiowej – jeżeli nie jest wykonywana tomografia komputerowa tej okolicy;</w:t>
            </w:r>
          </w:p>
          <w:p w14:paraId="59D04574" w14:textId="77777777" w:rsidR="003F229D" w:rsidRPr="007F0F6E" w:rsidRDefault="00927359" w:rsidP="007F0F6E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lektrokardiogram (EKG);</w:t>
            </w:r>
          </w:p>
          <w:p w14:paraId="26054A6F" w14:textId="77777777" w:rsidR="003F229D" w:rsidRPr="007F0F6E" w:rsidRDefault="00927359" w:rsidP="007F0F6E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omiar ciśnienia tętniczego;</w:t>
            </w:r>
          </w:p>
          <w:p w14:paraId="4ABE3CAA" w14:textId="4A576399" w:rsidR="003F229D" w:rsidRPr="00CB0610" w:rsidRDefault="00927359" w:rsidP="00CB0610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nne badania w razie wskazań klinicznych.</w:t>
            </w:r>
          </w:p>
          <w:p w14:paraId="7F2A2D9B" w14:textId="77777777" w:rsidR="005E30CF" w:rsidRPr="007F0F6E" w:rsidRDefault="005E30CF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Badanie tomografii komputerowej jamy brzusznej i miednicy należy wykonać w czasie do 4 tygodni przed włączeniem do programu. </w:t>
            </w:r>
          </w:p>
          <w:p w14:paraId="64D1AAA1" w14:textId="77777777" w:rsidR="003F229D" w:rsidRPr="007F0F6E" w:rsidRDefault="003F229D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Celem wstępnych badań obrazowych jest umożliwienie późniejszego monitorowania progresji choroby.</w:t>
            </w:r>
          </w:p>
          <w:p w14:paraId="5A8BD760" w14:textId="77777777" w:rsidR="003F229D" w:rsidRPr="007F0F6E" w:rsidRDefault="003F229D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41D26580" w14:textId="530D2133" w:rsidR="003F229D" w:rsidRPr="007F0F6E" w:rsidRDefault="003F229D" w:rsidP="007F0F6E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Monitorowanie bezpieczeństwa leczenia </w:t>
            </w:r>
            <w:proofErr w:type="spellStart"/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bewacyzumabem</w:t>
            </w:r>
            <w:proofErr w:type="spellEnd"/>
          </w:p>
          <w:p w14:paraId="3F8CC15B" w14:textId="77777777" w:rsidR="003F229D" w:rsidRPr="007F0F6E" w:rsidRDefault="0028641E" w:rsidP="00CB0610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m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orfologia krwi z rozmazem;</w:t>
            </w:r>
          </w:p>
          <w:p w14:paraId="15E2A271" w14:textId="77777777" w:rsidR="003F229D" w:rsidRPr="007F0F6E" w:rsidRDefault="0028641E" w:rsidP="00CB0610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znaczenie stężenia</w:t>
            </w: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surowicy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327E8F7C" w14:textId="77777777" w:rsidR="003F229D" w:rsidRPr="007F0F6E" w:rsidRDefault="0028641E" w:rsidP="00CB0610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kreatyniny 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3C5357FF" w14:textId="77777777" w:rsidR="003F229D" w:rsidRPr="007F0F6E" w:rsidRDefault="0028641E" w:rsidP="00CB0610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bilirubiny 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6463A435" w14:textId="77777777" w:rsidR="0028641E" w:rsidRPr="007F0F6E" w:rsidRDefault="0028641E" w:rsidP="00CB0610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APTT i PT lub INR;</w:t>
            </w:r>
          </w:p>
          <w:p w14:paraId="5D9F6589" w14:textId="77777777" w:rsidR="003F229D" w:rsidRPr="007F0F6E" w:rsidRDefault="0028641E" w:rsidP="00CB0610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znaczenie aktywności transaminaz (</w:t>
            </w:r>
            <w:proofErr w:type="spellStart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AspAT</w:t>
            </w:r>
            <w:proofErr w:type="spellEnd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AlAT</w:t>
            </w:r>
            <w:proofErr w:type="spellEnd"/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),</w:t>
            </w:r>
          </w:p>
          <w:p w14:paraId="47072245" w14:textId="77777777" w:rsidR="003F229D" w:rsidRPr="007F0F6E" w:rsidRDefault="0028641E" w:rsidP="00CB0610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adanie ogólne moczu;</w:t>
            </w:r>
          </w:p>
          <w:p w14:paraId="77BA8150" w14:textId="77777777" w:rsidR="003F229D" w:rsidRPr="007F0F6E" w:rsidRDefault="0028641E" w:rsidP="00CB0610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omiar ciśnienia tętniczego;</w:t>
            </w:r>
          </w:p>
          <w:p w14:paraId="48FFC882" w14:textId="77777777" w:rsidR="003F229D" w:rsidRPr="007F0F6E" w:rsidRDefault="0028641E" w:rsidP="00CB0610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nne badanie w razie wskazań klinicznych.</w:t>
            </w:r>
          </w:p>
          <w:p w14:paraId="206CD7EC" w14:textId="77777777" w:rsidR="003F229D" w:rsidRPr="00CB0610" w:rsidRDefault="0028641E" w:rsidP="00CB061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B0610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 xml:space="preserve">Ww. badania w ramach monitorowania bezpieczeństwa leczenia wykonuje się przed rozpoczęciem każdego kolejnego cyklu terapii. </w:t>
            </w:r>
          </w:p>
          <w:p w14:paraId="0AA432A8" w14:textId="77777777" w:rsidR="0028641E" w:rsidRPr="007F0F6E" w:rsidRDefault="0028641E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58381A2A" w14:textId="77777777" w:rsidR="003F229D" w:rsidRPr="007F0F6E" w:rsidRDefault="003F229D" w:rsidP="007F0F6E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Monitorowanie skuteczności leczenia </w:t>
            </w:r>
            <w:proofErr w:type="spellStart"/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bewacyzumabem</w:t>
            </w:r>
            <w:proofErr w:type="spellEnd"/>
            <w:r w:rsidRPr="007F0F6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14:paraId="7B50B3DE" w14:textId="77777777" w:rsidR="003F229D" w:rsidRPr="007F0F6E" w:rsidRDefault="007415B1" w:rsidP="00CB0610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adanie tomografii komputerowej odpowiednich obszarów ciała w zależności od wskazań klinicznych;</w:t>
            </w:r>
          </w:p>
          <w:p w14:paraId="62113A17" w14:textId="77777777" w:rsidR="003F229D" w:rsidRPr="007F0F6E" w:rsidRDefault="0028641E" w:rsidP="00CB0610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nne badania w razie wskazań klinicznych.</w:t>
            </w:r>
          </w:p>
          <w:p w14:paraId="49EE7AAB" w14:textId="77777777" w:rsidR="003F229D" w:rsidRPr="007F0F6E" w:rsidRDefault="003F229D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5CE4C4B1" w14:textId="77777777" w:rsidR="003F229D" w:rsidRPr="00CB0610" w:rsidRDefault="009F7304" w:rsidP="00CB061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B061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Ad. 1) </w:t>
            </w:r>
            <w:r w:rsidR="003F229D" w:rsidRPr="00CB0610">
              <w:rPr>
                <w:rFonts w:ascii="Times New Roman" w:hAnsi="Times New Roman"/>
                <w:sz w:val="20"/>
                <w:szCs w:val="20"/>
                <w:lang w:val="pl-PL"/>
              </w:rPr>
              <w:t>Badania tomografii komputerowej wykonuje się:</w:t>
            </w:r>
          </w:p>
          <w:p w14:paraId="61E92FA0" w14:textId="36F3753F" w:rsidR="003F229D" w:rsidRPr="007F0F6E" w:rsidRDefault="00305580" w:rsidP="00CB0610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trakcie leczenia </w:t>
            </w:r>
            <w:proofErr w:type="spellStart"/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bewacyzumabem</w:t>
            </w:r>
            <w:proofErr w:type="spellEnd"/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zależności od wskazań klinicznych, ale nie rzadziej niż co 16 tygodni</w:t>
            </w:r>
            <w:r w:rsidRPr="007F0F6E" w:rsidDel="0030558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F7304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3F229D" w:rsidRPr="007F0F6E">
              <w:rPr>
                <w:rFonts w:ascii="Times New Roman" w:hAnsi="Times New Roman"/>
                <w:sz w:val="20"/>
                <w:szCs w:val="20"/>
                <w:lang w:val="pl-PL"/>
              </w:rPr>
              <w:t>awsze w przypadku wskazań klinicznych.</w:t>
            </w:r>
          </w:p>
          <w:p w14:paraId="49D503BC" w14:textId="77777777" w:rsidR="009F7304" w:rsidRPr="007F0F6E" w:rsidRDefault="009F7304" w:rsidP="00CB0610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w chwili wyłączenia z programu, o ile nastąpiło z innych przyczyn niż udokumentowana progresja choroby;</w:t>
            </w:r>
          </w:p>
          <w:p w14:paraId="0B6A15D3" w14:textId="10F55AFC" w:rsidR="003F229D" w:rsidRPr="00CB0610" w:rsidRDefault="003F229D" w:rsidP="00CB061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B0610">
              <w:rPr>
                <w:rFonts w:ascii="Times New Roman" w:hAnsi="Times New Roman"/>
                <w:sz w:val="20"/>
                <w:szCs w:val="20"/>
                <w:lang w:val="pl-PL"/>
              </w:rPr>
              <w:t>Oceny skuteczności leczenia dokonuje się zgodnie z kryteriami RECIST</w:t>
            </w:r>
            <w:r w:rsidR="00305580" w:rsidRPr="00CB061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według obecnie obowiązującej wersji</w:t>
            </w:r>
            <w:r w:rsidRPr="00CB0610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7FD40448" w14:textId="77777777" w:rsidR="003F229D" w:rsidRPr="007F0F6E" w:rsidRDefault="003F229D" w:rsidP="007F0F6E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03B54D0C" w14:textId="1985DD15" w:rsidR="003F229D" w:rsidRPr="007F0F6E" w:rsidRDefault="003F229D" w:rsidP="007F0F6E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Monitorowanie </w:t>
            </w:r>
            <w:r w:rsidR="009F7304" w:rsidRPr="007F0F6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5D5987D2" w14:textId="77777777" w:rsidR="009F7304" w:rsidRPr="007F0F6E" w:rsidRDefault="009F7304" w:rsidP="00CB0610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gromadzenie w dokumentacji medycznej danych dotyczących monitorowania leczenia i każdorazowe ich przedstawianie na żądanie kontrolerów Narodowego Funduszu Zdrowia (NFZ);</w:t>
            </w:r>
          </w:p>
          <w:p w14:paraId="4EBC618C" w14:textId="77777777" w:rsidR="009F7304" w:rsidRPr="007F0F6E" w:rsidRDefault="009F7304" w:rsidP="00CB0610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uzupełnienie danych zawartych w rejestrze (system monitorowania programów terapeutycznych – SMPT) dostępnym za pomocą aplikacji internetowej udostępnionej przez Oddział Wojewódzki NFZ z częstotliwością zgodną z opisem programu oraz na zakończenie leczenia;</w:t>
            </w:r>
          </w:p>
          <w:p w14:paraId="2BF72508" w14:textId="77777777" w:rsidR="009F7304" w:rsidRPr="007F0F6E" w:rsidRDefault="009F7304" w:rsidP="00CB0610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F0F6E">
              <w:rPr>
                <w:rFonts w:ascii="Times New Roman" w:hAnsi="Times New Roman"/>
                <w:sz w:val="20"/>
                <w:szCs w:val="20"/>
                <w:lang w:val="pl-PL"/>
              </w:rPr>
              <w:t>przekazywanie informacji sprawozdawczo-rozliczeniowych do NFZ (informacje przekazuje się do NFZ w formie papierowej lub w formie elektronicznej zgodnie z wymaganiami opublikowanymi przez NFZ).</w:t>
            </w:r>
          </w:p>
        </w:tc>
      </w:tr>
    </w:tbl>
    <w:p w14:paraId="19665136" w14:textId="77777777" w:rsidR="003F229D" w:rsidRPr="003F229D" w:rsidRDefault="003F229D" w:rsidP="003F229D">
      <w:pPr>
        <w:ind w:right="110"/>
        <w:rPr>
          <w:rFonts w:ascii="Times New Roman" w:hAnsi="Times New Roman"/>
          <w:b/>
          <w:sz w:val="20"/>
          <w:szCs w:val="20"/>
          <w:lang w:val="pl-PL"/>
        </w:rPr>
      </w:pPr>
    </w:p>
    <w:p w14:paraId="0546406A" w14:textId="77777777" w:rsidR="003303BB" w:rsidRPr="007F0F6E" w:rsidRDefault="003303BB">
      <w:pPr>
        <w:rPr>
          <w:lang w:val="pl-PL"/>
        </w:rPr>
      </w:pPr>
    </w:p>
    <w:sectPr w:rsidR="003303BB" w:rsidRPr="007F0F6E" w:rsidSect="007F0F6E">
      <w:pgSz w:w="16839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inion">
    <w:altName w:val="Cambria"/>
    <w:charset w:val="EE"/>
    <w:family w:val="roman"/>
    <w:pitch w:val="variable"/>
    <w:sig w:usb0="E00002AF" w:usb1="5000E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312B3"/>
    <w:multiLevelType w:val="hybridMultilevel"/>
    <w:tmpl w:val="7B643066"/>
    <w:lvl w:ilvl="0" w:tplc="9ABEEB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A574C"/>
    <w:multiLevelType w:val="hybridMultilevel"/>
    <w:tmpl w:val="B204B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63512"/>
    <w:multiLevelType w:val="hybridMultilevel"/>
    <w:tmpl w:val="444C90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7476EC"/>
    <w:multiLevelType w:val="hybridMultilevel"/>
    <w:tmpl w:val="D212BB5E"/>
    <w:lvl w:ilvl="0" w:tplc="9ABEEB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6549130">
      <w:start w:val="1"/>
      <w:numFmt w:val="lowerLetter"/>
      <w:lvlText w:val="%2)"/>
      <w:lvlJc w:val="left"/>
      <w:pPr>
        <w:ind w:left="1440" w:hanging="360"/>
      </w:pPr>
      <w:rPr>
        <w:rFonts w:ascii="Times New Roman" w:eastAsia="PMingLiU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17717ED"/>
    <w:multiLevelType w:val="multilevel"/>
    <w:tmpl w:val="EC5AE6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26B2D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392639"/>
    <w:multiLevelType w:val="hybridMultilevel"/>
    <w:tmpl w:val="D6227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86EC1"/>
    <w:multiLevelType w:val="multilevel"/>
    <w:tmpl w:val="CA56FE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9D147B2"/>
    <w:multiLevelType w:val="hybridMultilevel"/>
    <w:tmpl w:val="8CA64EDA"/>
    <w:lvl w:ilvl="0" w:tplc="459AB77A">
      <w:start w:val="1"/>
      <w:numFmt w:val="lowerLetter"/>
      <w:lvlText w:val="%1)"/>
      <w:lvlJc w:val="left"/>
      <w:pPr>
        <w:ind w:left="720" w:hanging="360"/>
      </w:pPr>
      <w:rPr>
        <w:rFonts w:ascii="Times New Roman" w:eastAsia="PMingLiU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F5106"/>
    <w:multiLevelType w:val="hybridMultilevel"/>
    <w:tmpl w:val="0EC4E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E7339B"/>
    <w:multiLevelType w:val="hybridMultilevel"/>
    <w:tmpl w:val="FE34C70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371C82"/>
    <w:multiLevelType w:val="hybridMultilevel"/>
    <w:tmpl w:val="A71A2BBC"/>
    <w:lvl w:ilvl="0" w:tplc="9ABEEB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EE56F5"/>
    <w:multiLevelType w:val="multilevel"/>
    <w:tmpl w:val="ED9AC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39A739D"/>
    <w:multiLevelType w:val="multilevel"/>
    <w:tmpl w:val="7FD0B6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BAD327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EB76D44"/>
    <w:multiLevelType w:val="hybridMultilevel"/>
    <w:tmpl w:val="EE224F14"/>
    <w:lvl w:ilvl="0" w:tplc="459AB77A">
      <w:start w:val="1"/>
      <w:numFmt w:val="lowerLetter"/>
      <w:lvlText w:val="%1)"/>
      <w:lvlJc w:val="left"/>
      <w:pPr>
        <w:ind w:left="720" w:hanging="360"/>
      </w:pPr>
      <w:rPr>
        <w:rFonts w:ascii="Times New Roman" w:eastAsia="PMingLiU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E6529C"/>
    <w:multiLevelType w:val="hybridMultilevel"/>
    <w:tmpl w:val="72BAEBDE"/>
    <w:lvl w:ilvl="0" w:tplc="9ABEEB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671CA6"/>
    <w:multiLevelType w:val="hybridMultilevel"/>
    <w:tmpl w:val="E326E7AA"/>
    <w:lvl w:ilvl="0" w:tplc="2C6A2AEA">
      <w:start w:val="1"/>
      <w:numFmt w:val="decimal"/>
      <w:lvlText w:val="%1)"/>
      <w:lvlJc w:val="left"/>
      <w:pPr>
        <w:ind w:left="360" w:hanging="360"/>
      </w:pPr>
      <w:rPr>
        <w:rFonts w:ascii="Times New Roman" w:eastAsia="PMingLiU" w:hAnsi="Times New Roman" w:cs="Times New Roman"/>
      </w:rPr>
    </w:lvl>
    <w:lvl w:ilvl="1" w:tplc="FFF85F3E">
      <w:start w:val="1"/>
      <w:numFmt w:val="lowerLetter"/>
      <w:lvlText w:val="%2)"/>
      <w:lvlJc w:val="left"/>
      <w:pPr>
        <w:ind w:left="568" w:hanging="360"/>
      </w:pPr>
      <w:rPr>
        <w:rFonts w:ascii="Times New Roman" w:eastAsia="PMingLiU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6EBB3F2E"/>
    <w:multiLevelType w:val="hybridMultilevel"/>
    <w:tmpl w:val="11A0A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CF0E38"/>
    <w:multiLevelType w:val="hybridMultilevel"/>
    <w:tmpl w:val="30EAFCC4"/>
    <w:lvl w:ilvl="0" w:tplc="63E005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7E293BDF"/>
    <w:multiLevelType w:val="hybridMultilevel"/>
    <w:tmpl w:val="562C5258"/>
    <w:lvl w:ilvl="0" w:tplc="9ABEEB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C225D8A">
      <w:start w:val="1"/>
      <w:numFmt w:val="lowerLetter"/>
      <w:lvlText w:val="%2)"/>
      <w:lvlJc w:val="left"/>
      <w:pPr>
        <w:ind w:left="1440" w:hanging="360"/>
      </w:pPr>
      <w:rPr>
        <w:rFonts w:ascii="Times New Roman" w:eastAsia="PMingLiU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14"/>
  </w:num>
  <w:num w:numId="4">
    <w:abstractNumId w:val="5"/>
  </w:num>
  <w:num w:numId="5">
    <w:abstractNumId w:val="8"/>
  </w:num>
  <w:num w:numId="6">
    <w:abstractNumId w:val="7"/>
  </w:num>
  <w:num w:numId="7">
    <w:abstractNumId w:val="6"/>
  </w:num>
  <w:num w:numId="8">
    <w:abstractNumId w:val="2"/>
  </w:num>
  <w:num w:numId="9">
    <w:abstractNumId w:val="11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9"/>
  </w:num>
  <w:num w:numId="13">
    <w:abstractNumId w:val="21"/>
  </w:num>
  <w:num w:numId="14">
    <w:abstractNumId w:val="12"/>
  </w:num>
  <w:num w:numId="15">
    <w:abstractNumId w:val="3"/>
  </w:num>
  <w:num w:numId="16">
    <w:abstractNumId w:val="23"/>
  </w:num>
  <w:num w:numId="17">
    <w:abstractNumId w:val="0"/>
  </w:num>
  <w:num w:numId="18">
    <w:abstractNumId w:val="17"/>
  </w:num>
  <w:num w:numId="19">
    <w:abstractNumId w:val="19"/>
  </w:num>
  <w:num w:numId="20">
    <w:abstractNumId w:val="20"/>
  </w:num>
  <w:num w:numId="21">
    <w:abstractNumId w:val="1"/>
  </w:num>
  <w:num w:numId="22">
    <w:abstractNumId w:val="20"/>
  </w:num>
  <w:num w:numId="23">
    <w:abstractNumId w:val="22"/>
  </w:num>
  <w:num w:numId="24">
    <w:abstractNumId w:val="13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29D"/>
    <w:rsid w:val="00034660"/>
    <w:rsid w:val="00036722"/>
    <w:rsid w:val="000544E2"/>
    <w:rsid w:val="00126C6E"/>
    <w:rsid w:val="00174C9E"/>
    <w:rsid w:val="0019130B"/>
    <w:rsid w:val="001D206F"/>
    <w:rsid w:val="0028641E"/>
    <w:rsid w:val="002916C6"/>
    <w:rsid w:val="00305580"/>
    <w:rsid w:val="0032363D"/>
    <w:rsid w:val="003303BB"/>
    <w:rsid w:val="003C3EEC"/>
    <w:rsid w:val="003F229D"/>
    <w:rsid w:val="004554FE"/>
    <w:rsid w:val="004B658B"/>
    <w:rsid w:val="004E4A58"/>
    <w:rsid w:val="005C57EC"/>
    <w:rsid w:val="005E30CF"/>
    <w:rsid w:val="00660A02"/>
    <w:rsid w:val="006843A7"/>
    <w:rsid w:val="006A4DB3"/>
    <w:rsid w:val="00735B8C"/>
    <w:rsid w:val="007415B1"/>
    <w:rsid w:val="007E731B"/>
    <w:rsid w:val="007F0F6E"/>
    <w:rsid w:val="009064C0"/>
    <w:rsid w:val="00927359"/>
    <w:rsid w:val="009A1F97"/>
    <w:rsid w:val="009F7304"/>
    <w:rsid w:val="00A121C5"/>
    <w:rsid w:val="00A14FD4"/>
    <w:rsid w:val="00A3131B"/>
    <w:rsid w:val="00A81090"/>
    <w:rsid w:val="00A961DF"/>
    <w:rsid w:val="00AA0101"/>
    <w:rsid w:val="00B23925"/>
    <w:rsid w:val="00B60B03"/>
    <w:rsid w:val="00B975FC"/>
    <w:rsid w:val="00BA34CD"/>
    <w:rsid w:val="00C23233"/>
    <w:rsid w:val="00C44DB0"/>
    <w:rsid w:val="00CA2403"/>
    <w:rsid w:val="00CB0610"/>
    <w:rsid w:val="00CD223B"/>
    <w:rsid w:val="00D545BA"/>
    <w:rsid w:val="00D9715F"/>
    <w:rsid w:val="00DB52A3"/>
    <w:rsid w:val="00E01BA4"/>
    <w:rsid w:val="00E473C9"/>
    <w:rsid w:val="00F604AF"/>
    <w:rsid w:val="00F637AB"/>
    <w:rsid w:val="00FB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94DF3"/>
  <w15:docId w15:val="{312A587B-8AF5-419F-A9D5-6B6BC5D1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29D"/>
    <w:pPr>
      <w:spacing w:after="200" w:line="276" w:lineRule="auto"/>
    </w:pPr>
    <w:rPr>
      <w:rFonts w:ascii="Minion" w:eastAsia="PMingLiU" w:hAnsi="Minion" w:cs="Times New Roman"/>
      <w:lang w:val="en-US" w:eastAsia="zh-T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DB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223B"/>
    <w:pPr>
      <w:spacing w:line="240" w:lineRule="auto"/>
    </w:pPr>
    <w:rPr>
      <w:rFonts w:ascii="Calibri" w:eastAsia="Calibri" w:hAnsi="Calibri"/>
      <w:sz w:val="20"/>
      <w:szCs w:val="20"/>
      <w:lang w:val="pl-PL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223B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223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23B"/>
    <w:rPr>
      <w:rFonts w:ascii="Tahoma" w:eastAsia="PMingLiU" w:hAnsi="Tahoma" w:cs="Tahoma"/>
      <w:sz w:val="16"/>
      <w:szCs w:val="16"/>
      <w:lang w:val="en-US" w:eastAsia="zh-TW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4E2"/>
    <w:rPr>
      <w:rFonts w:ascii="Minion" w:eastAsia="PMingLiU" w:hAnsi="Minion"/>
      <w:b/>
      <w:bCs/>
      <w:lang w:val="en-US" w:eastAsia="zh-TW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4E2"/>
    <w:rPr>
      <w:rFonts w:ascii="Minion" w:eastAsia="PMingLiU" w:hAnsi="Minion" w:cs="Times New Roman"/>
      <w:b/>
      <w:bCs/>
      <w:sz w:val="20"/>
      <w:szCs w:val="20"/>
      <w:lang w:val="en-US" w:eastAsia="zh-TW"/>
    </w:rPr>
  </w:style>
  <w:style w:type="paragraph" w:styleId="Poprawka">
    <w:name w:val="Revision"/>
    <w:hidden/>
    <w:uiPriority w:val="99"/>
    <w:semiHidden/>
    <w:rsid w:val="00126C6E"/>
    <w:pPr>
      <w:spacing w:after="0" w:line="240" w:lineRule="auto"/>
    </w:pPr>
    <w:rPr>
      <w:rFonts w:ascii="Minion" w:eastAsia="PMingLiU" w:hAnsi="Minion" w:cs="Times New Roman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6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3F134-35FA-4286-98E9-1DD5BEC6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1320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Oczkowski Mateusz</dc:creator>
  <cp:lastModifiedBy>Królak-Buzakowska Joanna</cp:lastModifiedBy>
  <cp:revision>3</cp:revision>
  <dcterms:created xsi:type="dcterms:W3CDTF">2021-04-15T10:34:00Z</dcterms:created>
  <dcterms:modified xsi:type="dcterms:W3CDTF">2021-04-15T10:55:00Z</dcterms:modified>
</cp:coreProperties>
</file>